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hanging="2"/>
        <w:jc w:val="center"/>
        <w:rPr>
          <w:sz w:val="24"/>
          <w:szCs w:val="24"/>
        </w:rPr>
      </w:pPr>
      <w:bookmarkStart w:colFirst="0" w:colLast="0" w:name="_heading=h.4pqnbdxzqpa3"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2660649</wp:posOffset>
            </wp:positionH>
            <wp:positionV relativeFrom="paragraph">
              <wp:posOffset>59690</wp:posOffset>
            </wp:positionV>
            <wp:extent cx="798830" cy="80454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98830" cy="804545"/>
                    </a:xfrm>
                    <a:prstGeom prst="rect"/>
                    <a:ln/>
                  </pic:spPr>
                </pic:pic>
              </a:graphicData>
            </a:graphic>
          </wp:anchor>
        </w:drawing>
      </w:r>
    </w:p>
    <w:p w:rsidR="00000000" w:rsidDel="00000000" w:rsidP="00000000" w:rsidRDefault="00000000" w:rsidRPr="00000000" w14:paraId="00000002">
      <w:pP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03">
      <w:pPr>
        <w:tabs>
          <w:tab w:val="left" w:leader="none" w:pos="4335"/>
        </w:tabs>
        <w:spacing w:line="240" w:lineRule="auto"/>
        <w:ind w:hanging="2"/>
        <w:rPr>
          <w:sz w:val="24"/>
          <w:szCs w:val="24"/>
        </w:rPr>
      </w:pPr>
      <w:r w:rsidDel="00000000" w:rsidR="00000000" w:rsidRPr="00000000">
        <w:rPr>
          <w:sz w:val="24"/>
          <w:szCs w:val="24"/>
          <w:rtl w:val="0"/>
        </w:rPr>
        <w:tab/>
      </w:r>
    </w:p>
    <w:p w:rsidR="00000000" w:rsidDel="00000000" w:rsidP="00000000" w:rsidRDefault="00000000" w:rsidRPr="00000000" w14:paraId="00000004">
      <w:pPr>
        <w:spacing w:line="240" w:lineRule="auto"/>
        <w:ind w:hanging="2"/>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‘Encourage one another and build each other up.’ </w:t>
      </w:r>
    </w:p>
    <w:p w:rsidR="00000000" w:rsidDel="00000000" w:rsidP="00000000" w:rsidRDefault="00000000" w:rsidRPr="00000000" w14:paraId="00000007">
      <w:pPr>
        <w:jc w:val="center"/>
        <w:rPr>
          <w:rFonts w:ascii="Calibri" w:cs="Calibri" w:eastAsia="Calibri" w:hAnsi="Calibri"/>
        </w:rPr>
      </w:pPr>
      <w:r w:rsidDel="00000000" w:rsidR="00000000" w:rsidRPr="00000000">
        <w:rPr>
          <w:rFonts w:ascii="Calibri" w:cs="Calibri" w:eastAsia="Calibri" w:hAnsi="Calibri"/>
          <w:b w:val="1"/>
          <w:bCs w:val="1"/>
          <w:sz w:val="26"/>
          <w:szCs w:val="26"/>
          <w:rtl w:val="0"/>
        </w:rPr>
        <w:t xml:space="preserve">Thessalonians 1 5:11</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Role: Senior Nursery Practitioner</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Location: Trinity Nursery, Trinity First School, Nunney Road, Frome, BA11 4LB</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 Date: 1st September 2026</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Closing Date: 8th June 2026</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Interview Date:  15th June 2026</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Hours: 37.5 per week, Monday to Friday, 8am to 4pm (30 minutes unpaid break), term time plus 5 Inset Days</w:t>
      </w: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 Grade 4 SCP 7-10, £13.69 - £14.35 per hour, £22,991 - £24,115 actual salary</w:t>
      </w:r>
    </w:p>
    <w:p w:rsidR="00000000" w:rsidDel="00000000" w:rsidP="00000000" w:rsidRDefault="00000000" w:rsidRPr="00000000" w14:paraId="0000001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We are happy to consider Job share applications</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tabs>
          <w:tab w:val="left" w:leader="none" w:pos="3870"/>
        </w:tabs>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Trinity First School is delighted to be adding a nursery to our highly successful school. We are seeking an excellent Senior Nursery Practitioner to work closely with our Nursery Lead to establish nursery provision of the highest standards. The Senior Nursery Practitioner will play an active part in the day to day running of the provision, ensuring that our nursery children have high quality learning and play experiences indoors and out, and the very best level of care.  </w:t>
      </w:r>
    </w:p>
    <w:p w:rsidR="00000000" w:rsidDel="00000000" w:rsidP="00000000" w:rsidRDefault="00000000" w:rsidRPr="00000000" w14:paraId="00000013">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4">
      <w:p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Trinity First School, located in Frome, Somerset, is a fully inclusive, thriving school for children aged two to nine. Known for its strong emphasis on community and inclusivity, the school provides a nurturing environment where young learners can thrive academically and socially. With a dedicated staff and a diverse curriculum that encourages creativity and critical thinking, Trinity First School aims to foster a love of learning while developing essential skills. The school also prioritises outdoor learning and engagement with the local community, making it a cornerstone of education in Frome. We believe in creating an environment where everyone belongs and feels valued. We celebrate differences and welcome applications from people of all backgrounds, experiences and perspectives.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Trinity First School is part of the Midsomer Norton Schools Partnership. The Trust is built on the belief that true collaboration leads to excellence, striving to ensure all its schools achieve a 'good' or better rating. While maintaining the unique character of each school, the Trust supports improvement through sensible standardisation of practices, providing outstanding support and challenge to foster success across its member schools.  There are many advantages to working for us. Included in your actual annual salary is generous annual leave entitlement, access to a local government pension scheme, sick pay scheme, cycle-to-work scheme, free eye tests and employee assistance helpline. Support staff in schools can also benefit from a range of national discount schemes available to education professionals such as the Blue Light Card offering savings on shopping, travel, and leisure.</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pBdr>
          <w:top w:color="475569" w:space="0" w:sz="0" w:val="none"/>
          <w:left w:color="475569" w:space="0" w:sz="0" w:val="none"/>
          <w:bottom w:color="475569" w:space="0" w:sz="0" w:val="none"/>
          <w:right w:color="475569" w:space="0" w:sz="0" w:val="none"/>
          <w:between w:color="475569" w:space="0" w:sz="0" w:val="none"/>
        </w:pBdr>
        <w:spacing w:after="180" w:line="240" w:lineRule="auto"/>
        <w:rPr>
          <w:rFonts w:ascii="Calibri" w:cs="Calibri" w:eastAsia="Calibri" w:hAnsi="Calibri"/>
        </w:rPr>
      </w:pPr>
      <w:r w:rsidDel="00000000" w:rsidR="00000000" w:rsidRPr="00000000">
        <w:rPr>
          <w:rFonts w:ascii="Calibri" w:cs="Calibri" w:eastAsia="Calibri" w:hAnsi="Calibri"/>
          <w:rtl w:val="0"/>
        </w:rPr>
        <w:t xml:space="preserve">We encourage early applications as we reserve the right to close the vacancy prior to the closing date if we receive sufficient applications for the role.</w:t>
      </w:r>
    </w:p>
    <w:p w:rsidR="00000000" w:rsidDel="00000000" w:rsidP="00000000" w:rsidRDefault="00000000" w:rsidRPr="00000000" w14:paraId="00000019">
      <w:pPr>
        <w:keepNext w:val="0"/>
        <w:keepLines w:val="0"/>
        <w:pBdr>
          <w:top w:color="475569" w:space="0" w:sz="0" w:val="none"/>
          <w:left w:color="475569" w:space="0" w:sz="0" w:val="none"/>
          <w:bottom w:color="475569" w:space="0" w:sz="0" w:val="none"/>
          <w:right w:color="475569" w:space="0" w:sz="0" w:val="none"/>
          <w:between w:color="475569" w:space="0" w:sz="0" w:val="none"/>
        </w:pBdr>
        <w:spacing w:after="80" w:before="0" w:line="240" w:lineRule="auto"/>
        <w:rPr>
          <w:rFonts w:ascii="Calibri" w:cs="Calibri" w:eastAsia="Calibri" w:hAnsi="Calibri"/>
        </w:rPr>
      </w:pPr>
      <w:r w:rsidDel="00000000" w:rsidR="00000000" w:rsidRPr="00000000">
        <w:rPr>
          <w:rFonts w:ascii="Calibri" w:cs="Calibri" w:eastAsia="Calibri" w:hAnsi="Calibri"/>
          <w:rtl w:val="0"/>
        </w:rPr>
        <w:t xml:space="preserve">Safeguarding Statement:</w:t>
      </w:r>
    </w:p>
    <w:p w:rsidR="00000000" w:rsidDel="00000000" w:rsidP="00000000" w:rsidRDefault="00000000" w:rsidRPr="00000000" w14:paraId="0000001A">
      <w:pPr>
        <w:pBdr>
          <w:top w:color="475569" w:space="0" w:sz="0" w:val="none"/>
          <w:left w:color="475569" w:space="0" w:sz="0" w:val="none"/>
          <w:bottom w:color="475569" w:space="0" w:sz="0" w:val="none"/>
          <w:right w:color="475569" w:space="0" w:sz="0" w:val="none"/>
          <w:between w:color="475569" w:space="0" w:sz="0" w:val="none"/>
        </w:pBdr>
        <w:spacing w:after="180" w:line="240" w:lineRule="auto"/>
        <w:rPr>
          <w:rFonts w:ascii="Calibri" w:cs="Calibri" w:eastAsia="Calibri" w:hAnsi="Calibri"/>
        </w:rPr>
      </w:pPr>
      <w:r w:rsidDel="00000000" w:rsidR="00000000" w:rsidRPr="00000000">
        <w:rPr>
          <w:rFonts w:ascii="Calibri" w:cs="Calibri" w:eastAsia="Calibri" w:hAnsi="Calibri"/>
          <w:rtl w:val="0"/>
        </w:rPr>
        <w:t xml:space="preserve">Midsomer Norton Schools Partnership is committed to safeguarding and promoting the welfare of children, young people and vulnerable adults and expects all staff and volunteers to share this commitment. We particularly welcome applications from under represented groups including ethnicity, gender, transgender, age, disability, sexual orientation or religion.</w:t>
      </w:r>
    </w:p>
    <w:p w:rsidR="00000000" w:rsidDel="00000000" w:rsidP="00000000" w:rsidRDefault="00000000" w:rsidRPr="00000000" w14:paraId="0000001B">
      <w:pPr>
        <w:pBdr>
          <w:top w:color="475569" w:space="0" w:sz="0" w:val="none"/>
          <w:left w:color="475569" w:space="0" w:sz="0" w:val="none"/>
          <w:bottom w:color="475569" w:space="0" w:sz="0" w:val="none"/>
          <w:right w:color="475569" w:space="0" w:sz="0" w:val="none"/>
          <w:between w:color="475569" w:space="0" w:sz="0" w:val="none"/>
        </w:pBdr>
        <w:spacing w:after="180" w:lineRule="auto"/>
        <w:rPr>
          <w:rFonts w:ascii="Calibri" w:cs="Calibri" w:eastAsia="Calibri" w:hAnsi="Calibri"/>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twlFiGABWQp9ipXeWI0fnbzQTQ==">CgMxLjAyDmguNHBxbmJkeHpxcGEzOAByITF5ZjZCaWtESlk2QVRpdkhlQmlQYkczV29vYWpETTFGag==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